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Акустический контроль трубопроводов</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Клюкин И.И.</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Научный руководитель: А.Р. Загретдинов, старший преподаватель</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(Казанский государственный энергетический университет)</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Трубопроводные системы, необходимые для общественного потребления, промышленности и повышенного потребления, повышенного потребления: газа, нефтепродуктов, теплоносителей (горячей воды и пара), воздуха, питьевой и технологической воды и т.д. Только в Российской Федерации протяженность трубопроводных сетей превышает 5 млн км[1].</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Большая протяженность трубопроводных сетей и их высокая степень износостойкости приводят к первоначальной цепочке утечек. Например, в Гонконге доля воды из-за утечек составляет около 15%, в Европе около 20% от общего объема транспортируемой воды, а в таких городах, как Дублин (Ирландия), Лусака (Замбия) и Калькутта (Индия), может достигать 40-60%.</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Большая проблема, связанная с потерей потерянных сетей. Скрытые потери - поглощение воды (или другого продукта), которые не проявляются выбиванием жидкости на поверхность или затоплением различных подземных коммуникаций. Это решение связано с трудностью их получения и обнаружением случаев потери энергии[2].</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Неисправности трубопроводных систем, а также незаконные врезки с кражей транспортируемого продукта не только приводят к значительному экономическому ущербу, но и создают возможность оползней, пожаров, взрывов или экологических потерь.</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В связи с этим проблема повышения качества и надежности трубопроводных систем является актуальной. Сегодня существует множество методов поиска мест разгерметизации трубопроводов. Среди них можно выделить такие, как визуально-оптический метод, электромагнитный контроль, акустический контроль, ультразвуковой контроль, рентгенографическое исследование, термографические испытания, гидро- или пневматические испытания с измерением давления до и после утечки и т.д. . Однако при всем разнообразии методов контроля невозможно выделить среди них эффективные в любых условиях.</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 xml:space="preserve">Из исследования авторов можно сделать вывод, что акустические методы являются наиболее сбалансированными по сравнению с другими. Это связано с тем, что акустический сигнал обладает достаточно емкой информацией о состоянии </w:t>
      </w:r>
      <w:r w:rsidRPr="00D67236">
        <w:rPr>
          <w:rFonts w:ascii="Times New Roman" w:hAnsi="Times New Roman" w:cs="Times New Roman"/>
          <w:b/>
          <w:sz w:val="24"/>
          <w:szCs w:val="24"/>
          <w:lang w:val="en-US"/>
        </w:rPr>
        <w:lastRenderedPageBreak/>
        <w:t>трубопровода. В качестве метода оценки состояния трубопроводов уже давно используются акустические методы. Основной проблемой эффективного применения акустического контроля является необходимость качественного извлечения информации из сигнала[3].</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Первоначально ученые использовали преобразование Фурье для обработки акустических сигналов. Конечно, этого недостаточно. Преобразование Фурье по своей сути не может отличить стационарный сигнал от нестационарного, что является большой проблемой для его применимости. Эта проблема может быть частично решена с помощью оконного преобразования Фурье. Это позволяет получить характеристику распределения частоты сигнала (с амплитудой) во времени. Основной проблемой его использования является принцип неопределенности Гейзенберга, который возникает для временных и частотных параметров сигнала. Принцип неопределенности основан на том факте, что невозможно точно сказать, какая частота присутствует в сигнале в данный момент времени (мы можем говорить только о диапазоне частот), и невозможно сказать, в какой точный момент времени частота присутствует в сигнале (мы можем только говорите о каком - то периоде времени) . В связи с этим возникает проблема разрешения оконного преобразования Фурье[4].</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С развитием науки и техники для анализа акустического сигнала стали использоваться более совершенные методы обработки.</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Одним из относительно новых методов математической обработки вибрационных сигналов являются такие преобразования, как: вейвлет и Гильберта-Хуанга, которые в последнее время широко используются на практике [3, . Эти преобразования позволяют решить проблему неопределенности Гейзенберга. Основной недостаток вейвлет-анализа связан с необходимостью выбора базового вейвлета в зависимости от характера исходного временного ряда. В процессе анализа нестационарных сигналов информация об основной основе, как правило, недоступна, по этой причине возникает необходимость выбора возможных вариантов для получения оптимальных результатов.</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Преобразование Гильберта-Хуанга не требует выбора базисной функции. Однако этот метод не имеет строгой теоретической основы. Это требует дополнительных исследований, чтобы подтвердить законность его использования в каждом конкретном случае. Кроме того, можно отметить проблемы, связанные с выбором сплайнов для декомпозиции, выбором критерия остановки при отсеве остатка, выбором значимых режимов, смешением режимов и краевыми эффектами. Эти недостатки увеличивают сложность и затрудняют интерпретацию результатов[5].</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lastRenderedPageBreak/>
        <w:t>Методы анализа сигналов осуществляются различными способами, одним из таких методов является теория искусственных нейронных сетей. Математический аппарат нейронных сетей повышает точность процесса диагностики за счет существующей базы знаний о работе аналогов. К недостаткам можно отнести сложность реализации и обучения нейронной сети, кроме того, стоит выделить низкую степень унификации (для каждого нового объекта необходимо создавать новую сеть и затем обучать ее) [6].</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В настоящее время идет активное тестирование нетрадиционных подходов в обработке и анализе информации. Теория фракталов является одной из перспективных областей математической обработки данных. Понятие фрактала ассоциируется с геометрическими объектами, удовлетворяющими такому критерию, как самоподобие. Фракталы имеют грубую или фрагментированную геометрическую форму, которую можно разделить на части, каждая из которых является уменьшенной версией целого. Для описания фрактальных структур, основанных на количественной оценке их сложности, используется коэффициент, называемый фрактальной размерностью. Одним из наиболее точных методов определения фрактальной размерности временных рядов является R/S-анализ с использованием показателя Херста[7].</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Рекомендации</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1. Б. Пан, Х. Ф. Дуан, С. Меникони, Б. Бруноне, Анализ переходных волн на основе FRF для идентификации вязкоупругих параметров и обнаружения утечек в заполненных водой пластиковых трубах, Механические системы и обработка сигналов 146 (2021) 107056. https://doi.org/10.1016/j.ymssp.2020.107056</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2. X.Q. Cao, C.M. Ruan, Сборник исследований по уровню потерь воды в трубопроводах водоснабжения в крупных городах мира, Очистка воды. Технол., 36 (2017) 6-14</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3. Р. Диндорф, П. Вос, Универсальное программируемое портативное измерительное устройство для диагностики и мониторинга промышленных жидкостных энергетических систем, Датчики 21(10) (2021), doi:10.3390/s21103440</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4. Ю. Ваньков, А. Румянцев, С. Зиганшин, Т. Политова, Р. Минязев, А. Загретдинов, Оценка состояния трубопроводов с использованием сверточных нейронных сетей, Энергии 13(3) (2020), doi:10.3390/en13030618</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5. А. Хавари, Ф. Алкадур, М. Эльмасри, Т. Зайед, Обзор современного состояния моделей оценки состояния, разработанных для канализационных трубопроводов, англ. Приложение. Искусственно. Интеллект. 93 (2020) 103721</w:t>
      </w:r>
    </w:p>
    <w:p w:rsidR="00D67236" w:rsidRPr="00D67236"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 xml:space="preserve">6. П. Ю. Сиоу, З. К. Онг, С. Ю. Ху, К. Лим, Чувствительная к повреждениям функция PCA-FRF в неконтролируемом машинном обучении для обнаружения повреждений </w:t>
      </w:r>
      <w:r w:rsidRPr="00D67236">
        <w:rPr>
          <w:rFonts w:ascii="Times New Roman" w:hAnsi="Times New Roman" w:cs="Times New Roman"/>
          <w:b/>
          <w:sz w:val="24"/>
          <w:szCs w:val="24"/>
          <w:lang w:val="en-US"/>
        </w:rPr>
        <w:lastRenderedPageBreak/>
        <w:t>пластинчатых структур, Международный журнал структурной стабильности и динамики 21 (2) (2021), doi: 10.1142/ S0219455421500280</w:t>
      </w:r>
    </w:p>
    <w:p w:rsidR="00193D11" w:rsidRPr="00C65E62" w:rsidRDefault="00D67236" w:rsidP="00D67236">
      <w:pPr>
        <w:spacing w:after="0" w:line="360" w:lineRule="auto"/>
        <w:ind w:firstLine="397"/>
        <w:jc w:val="both"/>
        <w:rPr>
          <w:rFonts w:ascii="Times New Roman" w:hAnsi="Times New Roman" w:cs="Times New Roman"/>
          <w:b/>
          <w:sz w:val="24"/>
          <w:szCs w:val="24"/>
          <w:lang w:val="en-US"/>
        </w:rPr>
      </w:pPr>
      <w:r w:rsidRPr="00D67236">
        <w:rPr>
          <w:rFonts w:ascii="Times New Roman" w:hAnsi="Times New Roman" w:cs="Times New Roman"/>
          <w:b/>
          <w:sz w:val="24"/>
          <w:szCs w:val="24"/>
          <w:lang w:val="en-US"/>
        </w:rPr>
        <w:t>7. К.Песинис, К.Ф. Ти, Статистическая модель и структурный анализ надежности наземных газотранспортных трубопроводов, англ. Провал. Анал. 82 (2017) 1-15.</w:t>
      </w:r>
      <w:bookmarkStart w:id="0" w:name="_GoBack"/>
      <w:bookmarkEnd w:id="0"/>
    </w:p>
    <w:sectPr w:rsidR="00193D11" w:rsidRPr="00C65E62" w:rsidSect="00193D1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468F5"/>
    <w:multiLevelType w:val="hybridMultilevel"/>
    <w:tmpl w:val="F7E250A8"/>
    <w:lvl w:ilvl="0" w:tplc="5A92E4B0">
      <w:start w:val="1"/>
      <w:numFmt w:val="decimal"/>
      <w:lvlRestart w:val="0"/>
      <w:pStyle w:val="MDPI71References"/>
      <w:lvlText w:val="%1."/>
      <w:lvlJc w:val="left"/>
      <w:pPr>
        <w:ind w:left="425" w:hanging="425"/>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0A245F"/>
    <w:multiLevelType w:val="hybridMultilevel"/>
    <w:tmpl w:val="29E20A30"/>
    <w:lvl w:ilvl="0" w:tplc="1AF444CE">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DAF"/>
    <w:rsid w:val="00193D11"/>
    <w:rsid w:val="004D7DAF"/>
    <w:rsid w:val="005F5B2A"/>
    <w:rsid w:val="00AE2884"/>
    <w:rsid w:val="00C65E62"/>
    <w:rsid w:val="00D67236"/>
    <w:rsid w:val="00E34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84E4C"/>
  <w15:chartTrackingRefBased/>
  <w15:docId w15:val="{942A21A3-AC6B-45B0-A6F5-4F534FC44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qFormat/>
    <w:rsid w:val="00193D11"/>
    <w:pPr>
      <w:widowControl w:val="0"/>
      <w:spacing w:after="0" w:line="18" w:lineRule="atLeast"/>
      <w:jc w:val="center"/>
    </w:pPr>
    <w:rPr>
      <w:rFonts w:ascii="Times New Roman" w:eastAsia="Times New Roman" w:hAnsi="Times New Roman" w:cs="Times New Roman"/>
      <w:sz w:val="20"/>
      <w:szCs w:val="28"/>
      <w:lang w:eastAsia="ru-RU"/>
    </w:rPr>
  </w:style>
  <w:style w:type="character" w:customStyle="1" w:styleId="20">
    <w:name w:val="Основной текст 2 Знак"/>
    <w:basedOn w:val="a0"/>
    <w:link w:val="2"/>
    <w:rsid w:val="00193D11"/>
    <w:rPr>
      <w:rFonts w:ascii="Times New Roman" w:eastAsia="Times New Roman" w:hAnsi="Times New Roman" w:cs="Times New Roman"/>
      <w:sz w:val="20"/>
      <w:szCs w:val="28"/>
      <w:lang w:eastAsia="ru-RU"/>
    </w:rPr>
  </w:style>
  <w:style w:type="paragraph" w:customStyle="1" w:styleId="MDPI21heading1">
    <w:name w:val="MDPI_2.1_heading1"/>
    <w:qFormat/>
    <w:rsid w:val="00C65E62"/>
    <w:pPr>
      <w:adjustRightInd w:val="0"/>
      <w:snapToGrid w:val="0"/>
      <w:spacing w:before="240" w:after="60" w:line="228" w:lineRule="auto"/>
      <w:ind w:left="2608"/>
      <w:outlineLvl w:val="0"/>
    </w:pPr>
    <w:rPr>
      <w:rFonts w:ascii="Palatino Linotype" w:eastAsia="Times New Roman" w:hAnsi="Palatino Linotype" w:cs="Times New Roman"/>
      <w:b/>
      <w:snapToGrid w:val="0"/>
      <w:color w:val="000000"/>
      <w:sz w:val="20"/>
      <w:lang w:val="en-US" w:eastAsia="de-DE" w:bidi="en-US"/>
    </w:rPr>
  </w:style>
  <w:style w:type="paragraph" w:customStyle="1" w:styleId="MDPI71References">
    <w:name w:val="MDPI_7.1_References"/>
    <w:qFormat/>
    <w:rsid w:val="00C65E62"/>
    <w:pPr>
      <w:numPr>
        <w:numId w:val="2"/>
      </w:numPr>
      <w:adjustRightInd w:val="0"/>
      <w:snapToGrid w:val="0"/>
      <w:spacing w:after="0" w:line="228" w:lineRule="auto"/>
      <w:jc w:val="both"/>
    </w:pPr>
    <w:rPr>
      <w:rFonts w:ascii="Palatino Linotype" w:eastAsia="Times New Roman" w:hAnsi="Palatino Linotype" w:cs="Times New Roman"/>
      <w:color w:val="000000"/>
      <w:sz w:val="18"/>
      <w:szCs w:val="20"/>
      <w:lang w:val="en-US"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97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1111</Words>
  <Characters>6339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79869171374</dc:creator>
  <cp:keywords/>
  <dc:description/>
  <cp:lastModifiedBy>Kafedra</cp:lastModifiedBy>
  <cp:revision>4</cp:revision>
  <dcterms:created xsi:type="dcterms:W3CDTF">2022-10-28T10:39:00Z</dcterms:created>
  <dcterms:modified xsi:type="dcterms:W3CDTF">2022-11-02T09:54:00Z</dcterms:modified>
</cp:coreProperties>
</file>